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Nadační fond Hyundai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vyhlašuje otevřené grantové kolo pro roky 2021/2022, které administruje Nadace OSF.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Priority a cíle fondu: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životního prostředí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podpora občanské společnosti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Tematické oblasti grantového kola: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Podpora občanské společnosti a angažovanosti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Nadační fond Hyundai podpoří kvalitní projekty, které: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zapojují veřejnost do rozhodování a rozvíjejí diskuzi o veřejném zájmu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směřují ke zlepšování výkonu veřejné správy zejména v oblasti životního prostředí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rozvíjejí řádné fungování demokratické společnosti, informování veřejnosti, kontrolu veřejné správy, kontrolu transparentnosti rozhodovacích procesů a nakládání s veřejnými prostředky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Možné oblasti podpory: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komunitní plánování za účasti veřejnosti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zpracování odborných studií, posudků nebo právních analýz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najmutí právníka k řešení sporů s veřejnou správou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příprava informační kampaně na lokální úrovni apod.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Upřednostněny budou projekty malých a místních organizací a obcí. V případě, že žadatel patří mezi organizace s velkým rozpočtem (nad 1 000 000 Kč), v projektové žádosti by měl odůvodnit, proč je podpora fondu v daném případě nezbytná,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 to jak z hlediska věcného, tak především z hlediska financovatelnosti projektu z jiných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Komunitní projekty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Nadační fond Hyundai podpoří projekty lokálního charakteru (realizované za pomoci místních obyvatel), které vycházejí z iniciativy komunity, místních organizací či obce a zapojují veřejnost do dění ve svém okolí.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Podpořeny budou zejména: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projekty, které jsou inovativního charakteru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projekty zapojující veřejnost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projekty podporující udržitelný rozvoj regionu / zlepšující stav životního prostředí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kulturní projekty, které jsou svého druhu iniciační (nové) a angažované (angažované umění, které reaguje na současné společenské problémy lokálního charakteru)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Podpora se nevztahuje na: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projekty, které svou podstatou mají být financovány z obecních rozpočtů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projekty bez významného inovativního prvku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pravidelně se opakující kulturní aktivity (festivaly, koncerty)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realizaci sportovních aktivit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poskytování sociálních služeb, zajištění vybavenosti zařízení sociální péče a jiných zařízení působících v sociální sféře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činnosti spolků či sdružení, které nemají dopad na místní komunitu (oddílové aktivity, zájezdy apod.)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Profesionalizace existujících či nově vzniklých neziskových organizací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Nadační fond Hyundai je připraven podpořit aktivity vedoucí k rozvoji a stabilizaci organizace s cílem posílit její udržitelnost a větší soběstačnost.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Možné oblasti podpory: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rozvoj dobrovolnictví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posilování finanční stability organizace směrem k udržitelnosti (rozvoj fundraisingu, sociálního podnikání, hledání jiných zdrojů pomoci a podpory v rámci komunity)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tvorba strategického plánu organizace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zapojování komunity do aktivit organizace, aj.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Podpora se nevztahuje na: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vzdělávání, profesionalizaci nebo navyšování odbornosti zaměstnanců a podobné aktivity, které mohou být hrazeny z jiných zdrojů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Upřednostněni budou žadatelé, jejichž činnost spadá do priorit podpory Nadačního fondu Hyundai.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Mimořádné projekty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 rámec výše uvedených oblastí může Nadační fond Hyundai udělit výjimečnou podporu projektům, které přesně nespadají do žádné z definovaných oblastí podpory, ale které souvisejí s účelem Fondu a mají významný pozitivní dopad na veřejný zájem. Tyto zvláštní granty jsou zamýšleny k podpoře projektů s mimořádným přesahem nebo nezvyklých či jedinečných příležitostí k řešení společenských problémů. V rámci této oblasti Fond podpoří pouze omezený počet projektů.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Před podáním projektu v této kategorii, konzultujte Váš záměr s koordinátorkou.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Další informace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 příspěvek se mohou ucházet: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Právnické a fyzické osoby nekomerčního a nepolitického charakteru. Právnickými osobami se rozumí spolky, ústavy, obecně prospěšné společnosti, církevní organizace, příspěvkové organizace, obce, sdružení a spolky obcí. V případě, že žadatelem je obec, budou upřednostněny projekty realizované ve spolupráci s neziskovými organizacemi a za účasti veřejnosti.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Zájmová geografická oblast: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Nadační fond Hyundai podpoří projekty realizované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 Moravskoslezském kraji. Rozhodující je pozitivní dopad a přínos aktivit projektu, nikoliv sídlo žadatele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 o nadační příspěvek či jeho partnerů v projektu.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Nadační fond Hyundai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vítá zejména projekty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realizované na území bývalých okresů Frýdek-Místek a Nový Jičín, především v obcích Dobrá, Dobratice, Horní Domaslavice, Nižní Lhoty, Nošovice, Raškovice, Vojkovice, Vyšní Lhoty a Skalice.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Upřednostněny budou projekty, které prokáží: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smysluplnost aktivit, jejich společenskou potřebnost a prospěšnost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vysokou míru aktivního zapojení veřejnosti do projektu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realizovatelnost projektu a přiměřenost rozpočtu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udržitelnost pozitivních dopadů projektu v budoucnosti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ztíženou financovatelnost z jiných zdrojů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Nebudou podpořeny projekty: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převážně investičního charakteru bez zjevného pozitivního přesahu pro danou komunitu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komerčního charakteru bez významného sociálního či environmentálního přesahu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jakéhokoliv zapojení veřejnosti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směřující k podpoře politických stran a hnutí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jednorázové, kulturně-zábavního charakteru bez výraznějšího komunitního přesahu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Maximální výše nadačního příspěvku: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500 000 Kč (minimální výše nadačního příspěvku není určena).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Vzhledem k charakteru podporovaných aktivit bývají projekty v maximální výši grantu podporovány velmi výjimečně. Obvyklá výše grantu se pohybuje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250 000 Kč.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Maximální výše investičních nákladů: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 předkládaném projektu musí převažovat aktivity neinvestičního charakteru nad aktivitami investičními. Toto omezení se netýká rozpočtu projektu. Je tedy možné, aby v rozpočtu převažovaly nebo jej plně tvořily investiční náklady. Investiční náklady mohou být bez ohledu na celkovou výši rozpočtu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podpořeny maximálně částkou 100 000 Kč.</w:t>
      </w: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  <w:t xml:space="preserve">Investicemi se rozumí pořizování nebo náklady na úpravu, opravu či zhodnocení hmotného a nehmotného majetku, tj. zejména movitých věcí, budov, staveb, vybavení, samostatných zařízení, plotů, porostů, zvířat nebo děl, na které se vztahuje ochrana autorských práv včetně počítačových programů, jehož provozně-technické funkce jsou delší než jeden rok.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Kofinancování: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Nadační příspěvky mohou být použity i ke kofinancování aktivit, které jsou v souladu s cíli tohoto grantového kola.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Povinné přílohy žádosti: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doklad o přidělení IČO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výroční zpráva organizace žadatele (v případě, že ji organizace vydává)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výkaz hospodaření za předchozí rok (platí pro obce, příspěvkové organizace, organizace s rozpočtem nad 1 mil. Kč)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Termíny realizace projektu: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Zahájení realizace projektu je možné nejdříve od 1. 1. 2022 (orientační termín), každopádně po podepsání smlouvy. Projekty musejí být ukončeny nejpozději do konce června 2023.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Pozn.: V případě nouzového stavu je možné, na základě žádosti, harmonogram realizovaného projektu posunout.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Harmonogram: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uzávěrka grantového kola je 24. září 2021 ve 14:00 hod.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projektová žádost se vyplňuje jen elektronicky na stránkách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https://granty.nadaceosf.cz/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před vyplněním formuláře je nutné organizaci žadatele do systému zaregistrovat (pokud v minulosti nežádala o podporu); pokyny pro vyplňování žádosti naleznete v 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příručce pro žadatele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výsledky gran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tového kola budou zveřejněny v listopadu 2021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Více informací a kontaktní osoba: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 případě nejasností navštivte stránku 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nejčastější otázky a odpovědi týkající se programu</w:t>
        </w:r>
      </w:hyperlink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V případě, že na svou otázku nenaleznete odpověď, zašlete svůj dotaz na adresu </w:t>
      </w:r>
      <w:hyperlink r:id="rId10">
        <w:r w:rsidDel="00000000" w:rsidR="00000000" w:rsidRPr="00000000">
          <w:rPr>
            <w:rFonts w:ascii="Open Sans" w:cs="Open Sans" w:eastAsia="Open Sans" w:hAnsi="Open Sans"/>
            <w:color w:val="0563c1"/>
            <w:u w:val="single"/>
            <w:rtl w:val="0"/>
          </w:rPr>
          <w:t xml:space="preserve">hana.kucerova@osf.cz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(dotazy k obsahu projektu) nebo na adresu </w:t>
      </w:r>
      <w:hyperlink r:id="rId11">
        <w:r w:rsidDel="00000000" w:rsidR="00000000" w:rsidRPr="00000000">
          <w:rPr>
            <w:rFonts w:ascii="Open Sans" w:cs="Open Sans" w:eastAsia="Open Sans" w:hAnsi="Open Sans"/>
            <w:color w:val="0563c1"/>
            <w:u w:val="single"/>
            <w:rtl w:val="0"/>
          </w:rPr>
          <w:t xml:space="preserve">petr.svatos@osf.cz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(dotazy k systému Grantys a případným technickým problémům).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Prosím, neposílejte projektové záměry mailem k posouzení. Nebudeme moci se jim věnovat.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8" w:top="21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-448309</wp:posOffset>
          </wp:positionV>
          <wp:extent cx="7560000" cy="1068840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 w:val="1"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C5238"/>
  </w:style>
  <w:style w:type="paragraph" w:styleId="Normlnweb">
    <w:name w:val="Normal (Web)"/>
    <w:basedOn w:val="Normln"/>
    <w:uiPriority w:val="99"/>
    <w:unhideWhenUsed w:val="1"/>
    <w:rsid w:val="00113B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C458DB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8929A7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8929A7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8929A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D2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D25C2"/>
    <w:pPr>
      <w:spacing w:after="200"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D25C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D25C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D25C2"/>
    <w:rPr>
      <w:rFonts w:ascii="Segoe UI" w:cs="Segoe UI" w:hAnsi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091D1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tr.svatos@osf.cz" TargetMode="External"/><Relationship Id="rId10" Type="http://schemas.openxmlformats.org/officeDocument/2006/relationships/hyperlink" Target="mailto:hana.kucerova@osf.cz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nadacnifondhyundai.cz/dokumenty/FAQ-NFH202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anty.nadaceosf.cz/" TargetMode="External"/><Relationship Id="rId8" Type="http://schemas.openxmlformats.org/officeDocument/2006/relationships/hyperlink" Target="http://www.nadacnifondhyundai.cz/dokumenty/rychla-prirucka-zadatele-NFH-2017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xzRNpfjjlkqLud7cA9BkkBfrA==">AMUW2mVpnuWX1kTVdtcvUq7HMtoXkUeOd/Jrj6RY6O0b/MdB5peQAGuMcQhi1YFEzsdcGOIfLA7sWXkj2r0XEbi1Rwq09NxwQDwIou/yGOT5hz9ENHBK9i+xkZvVSllO4kve+OdQS04l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2019-07-09T14:20:00Z</dcterms:created>
  <dc:creator>petrs</dc:creator>
</cp:coreProperties>
</file>